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56E" w14:textId="77777777" w:rsidR="00141BA0" w:rsidRPr="00382D99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0B0DA15E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D774C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5B09D6" w:rsidRPr="005B09D6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6E69F3">
        <w:rPr>
          <w:rFonts w:ascii="Arial" w:eastAsia="MS Mincho" w:hAnsi="Arial" w:cs="Arial"/>
          <w:b/>
          <w:sz w:val="24"/>
          <w:szCs w:val="24"/>
          <w:lang w:val="en-US"/>
        </w:rPr>
        <w:t>11295</w:t>
      </w:r>
    </w:p>
    <w:p w14:paraId="58CE81B1" w14:textId="77777777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1</w:t>
      </w:r>
      <w:r w:rsidR="00D774CD">
        <w:rPr>
          <w:rFonts w:eastAsia="SimSun"/>
          <w:bCs w:val="0"/>
          <w:sz w:val="24"/>
          <w:lang w:eastAsia="zh-CN"/>
        </w:rPr>
        <w:t>9</w:t>
      </w:r>
      <w:r>
        <w:rPr>
          <w:rFonts w:eastAsia="SimSun"/>
          <w:bCs w:val="0"/>
          <w:sz w:val="24"/>
          <w:lang w:eastAsia="zh-CN"/>
        </w:rPr>
        <w:t xml:space="preserve"> – 2</w:t>
      </w:r>
      <w:r w:rsidR="00D774CD">
        <w:rPr>
          <w:rFonts w:eastAsia="SimSun"/>
          <w:bCs w:val="0"/>
          <w:sz w:val="24"/>
          <w:lang w:eastAsia="zh-CN"/>
        </w:rPr>
        <w:t>7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D774CD">
        <w:rPr>
          <w:rFonts w:eastAsia="SimSun"/>
          <w:bCs w:val="0"/>
          <w:sz w:val="24"/>
          <w:lang w:eastAsia="zh-CN"/>
        </w:rPr>
        <w:t>May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21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77777777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A060CD">
        <w:rPr>
          <w:rFonts w:ascii="Arial" w:hAnsi="Arial" w:cs="Arial"/>
          <w:b/>
          <w:sz w:val="22"/>
          <w:szCs w:val="22"/>
        </w:rPr>
        <w:t>Discussion on</w:t>
      </w:r>
      <w:r w:rsidR="00FE444D">
        <w:rPr>
          <w:rFonts w:ascii="Arial" w:hAnsi="Arial" w:cs="Arial"/>
          <w:b/>
          <w:sz w:val="22"/>
          <w:szCs w:val="22"/>
        </w:rPr>
        <w:t xml:space="preserve"> </w:t>
      </w:r>
      <w:r w:rsidR="00A060CD">
        <w:rPr>
          <w:rFonts w:ascii="Arial" w:hAnsi="Arial" w:cs="Arial"/>
          <w:b/>
          <w:sz w:val="22"/>
          <w:szCs w:val="22"/>
        </w:rPr>
        <w:t xml:space="preserve">UE RF requirements </w:t>
      </w:r>
      <w:r w:rsidR="00FE444D">
        <w:rPr>
          <w:rFonts w:ascii="Arial" w:hAnsi="Arial" w:cs="Arial"/>
          <w:b/>
          <w:sz w:val="22"/>
          <w:szCs w:val="22"/>
        </w:rPr>
        <w:t>for 16QAM NB-IoT Uplink</w:t>
      </w:r>
    </w:p>
    <w:p w14:paraId="7CF36F6C" w14:textId="77777777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C392C" w:rsidRPr="009C392C">
        <w:rPr>
          <w:rFonts w:ascii="Arial" w:hAnsi="Arial" w:cs="Arial"/>
          <w:color w:val="000000" w:themeColor="text1"/>
          <w:sz w:val="22"/>
          <w:szCs w:val="22"/>
        </w:rPr>
        <w:t>1</w:t>
      </w:r>
      <w:r w:rsidR="00D774CD">
        <w:rPr>
          <w:rFonts w:ascii="Arial" w:hAnsi="Arial" w:cs="Arial"/>
          <w:color w:val="000000" w:themeColor="text1"/>
          <w:sz w:val="22"/>
          <w:szCs w:val="22"/>
        </w:rPr>
        <w:t>1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9.2.2</w:t>
      </w:r>
    </w:p>
    <w:p w14:paraId="22066D89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Approval</w:t>
      </w:r>
    </w:p>
    <w:p w14:paraId="6BA4EF84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185977C" w14:textId="77777777" w:rsidR="00514F67" w:rsidRDefault="007B729A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RAN</w:t>
      </w:r>
      <w:r w:rsidR="0031607C">
        <w:rPr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>#</w:t>
      </w:r>
      <w:r w:rsidR="0031607C">
        <w:rPr>
          <w:color w:val="000000" w:themeColor="text1"/>
          <w:lang w:eastAsia="zh-CN"/>
        </w:rPr>
        <w:t>98bis-e</w:t>
      </w:r>
      <w:r>
        <w:rPr>
          <w:color w:val="000000" w:themeColor="text1"/>
          <w:lang w:eastAsia="zh-CN"/>
        </w:rPr>
        <w:t xml:space="preserve">, </w:t>
      </w:r>
      <w:r w:rsidR="00BC344E">
        <w:rPr>
          <w:color w:val="000000" w:themeColor="text1"/>
          <w:lang w:eastAsia="zh-CN"/>
        </w:rPr>
        <w:t>three key RF requirements are identified in support of 16QAM for NB-IoT uplink, i.e. EVM, IBE and MPR [1]. In the following we further discuss how these requirements should be defined.</w:t>
      </w:r>
    </w:p>
    <w:p w14:paraId="6D1145B0" w14:textId="77777777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4AAB6261" w14:textId="77777777" w:rsidR="00B92A68" w:rsidRPr="00B92A68" w:rsidRDefault="00B92A68" w:rsidP="00B92A68">
      <w:r>
        <w:t xml:space="preserve">As seen in </w:t>
      </w:r>
      <w:r w:rsidR="009F65F6">
        <w:t xml:space="preserve">3GPP </w:t>
      </w:r>
      <w:r>
        <w:t>TS 36.101</w:t>
      </w:r>
      <w:r w:rsidR="009F65F6">
        <w:t xml:space="preserve"> [2]</w:t>
      </w:r>
      <w:r>
        <w:t xml:space="preserve">, </w:t>
      </w:r>
      <w:r w:rsidR="0063504F">
        <w:t xml:space="preserve">the in-band emissions (IBE) requirements consists of three components, namely: General, IQ image and Carrier leakage, which are applicable to different frequency locations within the channel bandwidth. </w:t>
      </w:r>
      <w:r w:rsidR="00954DF5">
        <w:t xml:space="preserve">Furthermore, the general requirement is determined by three factors: </w:t>
      </w:r>
      <w:r w:rsidR="00554D7D">
        <w:t>a limit related to target SNR, a frequency-dependent limit related to EVM and a limit related to Tx power</w:t>
      </w:r>
      <w:r w:rsidR="00FA38C0">
        <w:t>, among which the highest is selected</w:t>
      </w:r>
      <w:r w:rsidR="00554D7D">
        <w:t>. A comparison of the in-band emissions requirements for NB-IoT and LTE is shown in Table 1.</w:t>
      </w:r>
    </w:p>
    <w:p w14:paraId="2BE9FD61" w14:textId="77777777" w:rsidR="00554D7D" w:rsidRDefault="00554D7D" w:rsidP="00554D7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Comparison of in-band emissions requirements for NB-IoT and LTE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7"/>
        <w:gridCol w:w="9004"/>
      </w:tblGrid>
      <w:tr w:rsidR="00B92A68" w14:paraId="14240DCE" w14:textId="77777777" w:rsidTr="00554D7D">
        <w:trPr>
          <w:cantSplit/>
          <w:trHeight w:val="1134"/>
        </w:trPr>
        <w:tc>
          <w:tcPr>
            <w:tcW w:w="623" w:type="dxa"/>
            <w:textDirection w:val="btLr"/>
          </w:tcPr>
          <w:p w14:paraId="4AAA396B" w14:textId="77777777" w:rsidR="00B92A68" w:rsidRPr="007418B2" w:rsidRDefault="00B92A68" w:rsidP="00B92A68">
            <w:pPr>
              <w:ind w:left="113" w:right="113"/>
              <w:jc w:val="center"/>
              <w:rPr>
                <w:b/>
                <w:color w:val="000000" w:themeColor="text1"/>
                <w:lang w:eastAsia="zh-CN"/>
              </w:rPr>
            </w:pPr>
            <w:r w:rsidRPr="007418B2">
              <w:rPr>
                <w:b/>
                <w:color w:val="000000" w:themeColor="text1"/>
                <w:lang w:eastAsia="zh-CN"/>
              </w:rPr>
              <w:t>NB-IoT</w:t>
            </w:r>
          </w:p>
        </w:tc>
        <w:tc>
          <w:tcPr>
            <w:tcW w:w="9008" w:type="dxa"/>
          </w:tcPr>
          <w:p w14:paraId="7F69AD23" w14:textId="77777777" w:rsidR="00B92A68" w:rsidRDefault="00B92A68" w:rsidP="00D66EA2">
            <w:pPr>
              <w:rPr>
                <w:color w:val="000000" w:themeColor="text1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6877C1B" wp14:editId="76B0F671">
                  <wp:extent cx="5641676" cy="2235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3079" cy="2283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68" w14:paraId="6B03FFD0" w14:textId="77777777" w:rsidTr="00554D7D">
        <w:trPr>
          <w:cantSplit/>
          <w:trHeight w:val="1148"/>
        </w:trPr>
        <w:tc>
          <w:tcPr>
            <w:tcW w:w="623" w:type="dxa"/>
            <w:textDirection w:val="btLr"/>
          </w:tcPr>
          <w:p w14:paraId="46325580" w14:textId="77777777" w:rsidR="00B92A68" w:rsidRPr="007418B2" w:rsidRDefault="00B92A68" w:rsidP="00B92A68">
            <w:pPr>
              <w:ind w:left="113" w:right="113"/>
              <w:jc w:val="center"/>
              <w:rPr>
                <w:b/>
                <w:color w:val="000000" w:themeColor="text1"/>
                <w:lang w:eastAsia="zh-CN"/>
              </w:rPr>
            </w:pPr>
            <w:r w:rsidRPr="007418B2">
              <w:rPr>
                <w:b/>
                <w:color w:val="000000" w:themeColor="text1"/>
                <w:lang w:eastAsia="zh-CN"/>
              </w:rPr>
              <w:lastRenderedPageBreak/>
              <w:t>LTE</w:t>
            </w:r>
          </w:p>
        </w:tc>
        <w:tc>
          <w:tcPr>
            <w:tcW w:w="9008" w:type="dxa"/>
          </w:tcPr>
          <w:p w14:paraId="1406FC26" w14:textId="77777777" w:rsidR="00B92A68" w:rsidRDefault="00B92A68" w:rsidP="00D66EA2">
            <w:pPr>
              <w:rPr>
                <w:color w:val="000000" w:themeColor="text1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DEB36B2" wp14:editId="439E4F5D">
                  <wp:extent cx="5633049" cy="3325141"/>
                  <wp:effectExtent l="0" t="0" r="635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0099" cy="3335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79CFBE" w14:textId="77777777" w:rsidR="00B92A68" w:rsidRDefault="00B92A68" w:rsidP="00D66EA2">
      <w:pPr>
        <w:rPr>
          <w:color w:val="000000" w:themeColor="text1"/>
          <w:lang w:eastAsia="zh-CN"/>
        </w:rPr>
      </w:pPr>
    </w:p>
    <w:p w14:paraId="43236532" w14:textId="7DAD2D0D" w:rsidR="005928C8" w:rsidRDefault="005928C8" w:rsidP="00D66EA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It can be seen that the first two items in the general requirement for NB-IoT are different from those for LTE. Since the second item is EVM related, it has been proposed to align it with that for LTE [1]. </w:t>
      </w:r>
      <w:r w:rsidR="00A74E93">
        <w:rPr>
          <w:color w:val="000000" w:themeColor="text1"/>
          <w:lang w:eastAsia="zh-CN"/>
        </w:rPr>
        <w:t>In our view, the first item should also be a</w:t>
      </w:r>
      <w:r w:rsidR="00E97500">
        <w:rPr>
          <w:color w:val="000000" w:themeColor="text1"/>
          <w:lang w:eastAsia="zh-CN"/>
        </w:rPr>
        <w:t xml:space="preserve">dapted in support of 16QAM. As explained in [3], the value of “-25” in the first item in the general requirement for LTE is related to the target SNR at the receiver in support of 64QAM. At the time of deciding the in-band emissions requirements for NB-IoT, </w:t>
      </w:r>
      <w:r w:rsidR="009C2145">
        <w:rPr>
          <w:color w:val="000000" w:themeColor="text1"/>
          <w:lang w:eastAsia="zh-CN"/>
        </w:rPr>
        <w:t>the highest order modulation was</w:t>
      </w:r>
      <w:r w:rsidR="00E97500">
        <w:rPr>
          <w:color w:val="000000" w:themeColor="text1"/>
          <w:lang w:eastAsia="zh-CN"/>
        </w:rPr>
        <w:t xml:space="preserve"> QPSK</w:t>
      </w:r>
      <w:r w:rsidR="009C2145">
        <w:rPr>
          <w:color w:val="000000" w:themeColor="text1"/>
          <w:lang w:eastAsia="zh-CN"/>
        </w:rPr>
        <w:t>, hence the value was increased to -15.</w:t>
      </w:r>
      <w:r w:rsidR="0078412F">
        <w:rPr>
          <w:color w:val="000000" w:themeColor="text1"/>
          <w:lang w:eastAsia="zh-CN"/>
        </w:rPr>
        <w:t xml:space="preserve"> Now that 16QAM is to be added, we propose to modify this value to -18. However, whether this change is</w:t>
      </w:r>
      <w:r w:rsidR="00A21E7D">
        <w:rPr>
          <w:color w:val="000000" w:themeColor="text1"/>
          <w:lang w:eastAsia="zh-CN"/>
        </w:rPr>
        <w:t xml:space="preserve"> also applicable for QPSK needs further study</w:t>
      </w:r>
      <w:r w:rsidR="00C853CE">
        <w:rPr>
          <w:color w:val="000000" w:themeColor="text1"/>
          <w:lang w:eastAsia="zh-CN"/>
        </w:rPr>
        <w:t xml:space="preserve"> owing to potential NBC issue.</w:t>
      </w:r>
      <w:bookmarkStart w:id="5" w:name="_GoBack"/>
      <w:bookmarkEnd w:id="5"/>
    </w:p>
    <w:p w14:paraId="3FEDF958" w14:textId="77777777" w:rsidR="0078412F" w:rsidRDefault="0078412F" w:rsidP="00D66EA2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Proposal 1: Define the </w:t>
      </w:r>
      <w:r w:rsidR="00217DA2">
        <w:rPr>
          <w:b/>
          <w:color w:val="000000" w:themeColor="text1"/>
          <w:lang w:eastAsia="zh-CN"/>
        </w:rPr>
        <w:t xml:space="preserve">general </w:t>
      </w:r>
      <w:r>
        <w:rPr>
          <w:b/>
          <w:color w:val="000000" w:themeColor="text1"/>
          <w:lang w:eastAsia="zh-CN"/>
        </w:rPr>
        <w:t xml:space="preserve">in-band emissions requirement for 16QAM as follows. Whether the new requirement </w:t>
      </w:r>
      <w:r w:rsidR="00217DA2">
        <w:rPr>
          <w:b/>
          <w:color w:val="000000" w:themeColor="text1"/>
          <w:lang w:eastAsia="zh-CN"/>
        </w:rPr>
        <w:t>is</w:t>
      </w:r>
      <w:r>
        <w:rPr>
          <w:b/>
          <w:color w:val="000000" w:themeColor="text1"/>
          <w:lang w:eastAsia="zh-CN"/>
        </w:rPr>
        <w:t xml:space="preserve"> applicable for QPSK is FFS.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828"/>
        <w:gridCol w:w="4394"/>
        <w:gridCol w:w="1964"/>
      </w:tblGrid>
      <w:tr w:rsidR="0078412F" w:rsidRPr="001D386E" w14:paraId="1F8B475B" w14:textId="77777777" w:rsidTr="002C7612">
        <w:trPr>
          <w:jc w:val="center"/>
        </w:trPr>
        <w:tc>
          <w:tcPr>
            <w:tcW w:w="14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7811" w14:textId="77777777" w:rsidR="0078412F" w:rsidRPr="001D386E" w:rsidRDefault="0078412F" w:rsidP="002C7612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Parameter description</w:t>
            </w:r>
          </w:p>
        </w:tc>
        <w:tc>
          <w:tcPr>
            <w:tcW w:w="1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E882" w14:textId="77777777" w:rsidR="0078412F" w:rsidRPr="001D386E" w:rsidRDefault="0078412F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Unit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B63E" w14:textId="77777777" w:rsidR="0078412F" w:rsidRPr="001D386E" w:rsidRDefault="0078412F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Limit (NOTE 1)</w:t>
            </w:r>
          </w:p>
        </w:tc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3B78" w14:textId="77777777" w:rsidR="0078412F" w:rsidRPr="001D386E" w:rsidRDefault="0078412F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Applicable Frequencies</w:t>
            </w:r>
          </w:p>
        </w:tc>
      </w:tr>
      <w:tr w:rsidR="0078412F" w:rsidRPr="001D386E" w14:paraId="5BAAB3B7" w14:textId="77777777" w:rsidTr="002C7612">
        <w:trPr>
          <w:trHeight w:val="710"/>
          <w:jc w:val="center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42F4" w14:textId="77777777" w:rsidR="0078412F" w:rsidRPr="001D386E" w:rsidRDefault="0078412F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General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5CC2" w14:textId="77777777" w:rsidR="0078412F" w:rsidRPr="001D386E" w:rsidRDefault="0078412F" w:rsidP="002C7612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dB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1AD" w14:textId="77777777" w:rsidR="0078412F" w:rsidRPr="001D7C04" w:rsidRDefault="0078412F" w:rsidP="001D7C04">
            <w:pPr>
              <w:pStyle w:val="TAC"/>
              <w:rPr>
                <w:rFonts w:cs="Arial"/>
                <w:lang w:eastAsia="ja-JP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lang w:eastAsia="ja-JP"/>
                  </w:rPr>
                  <m:t>max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-</m:t>
                    </m:r>
                    <m:r>
                      <w:rPr>
                        <w:rFonts w:ascii="Cambria Math" w:hAnsi="Cambria Math" w:cs="Arial"/>
                        <w:color w:val="FF0000"/>
                        <w:lang w:eastAsia="ja-JP"/>
                      </w:rPr>
                      <m:t>18</m:t>
                    </m:r>
                    <m:r>
                      <w:rPr>
                        <w:rFonts w:ascii="Cambria Math" w:hAnsi="Cambria Math" w:cs="Arial"/>
                        <w:lang w:eastAsia="ja-JP"/>
                      </w:rPr>
                      <m:t>-10∙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lang w:eastAsia="ja-JP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10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tone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/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Ctone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,</m:t>
                        </m:r>
                      </m:e>
                    </m:func>
                    <m:r>
                      <w:rPr>
                        <w:rFonts w:ascii="Cambria Math" w:hAnsi="Cambria Math" w:cs="Arial"/>
                        <w:lang w:eastAsia="ja-JP"/>
                      </w:rPr>
                      <m:t xml:space="preserve"> </m:t>
                    </m:r>
                  </m:e>
                </m:d>
              </m:oMath>
            </m:oMathPara>
          </w:p>
          <w:p w14:paraId="1970A5CA" w14:textId="77777777" w:rsidR="001D7C04" w:rsidRPr="001D7C04" w:rsidRDefault="001D7C04" w:rsidP="001D7C04">
            <w:pPr>
              <w:pStyle w:val="TAC"/>
              <w:rPr>
                <w:rFonts w:cs="Arial"/>
                <w:lang w:eastAsia="ja-JP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FF0000"/>
                    <w:lang w:eastAsia="ja-JP"/>
                  </w:rPr>
                  <m:t>20∙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color w:val="FF0000"/>
                        <w:lang w:eastAsia="ja-JP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lang w:eastAsia="ja-JP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lang w:eastAsia="ja-JP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Arial"/>
                        <w:color w:val="FF0000"/>
                        <w:lang w:eastAsia="ja-JP"/>
                      </w:rPr>
                      <m:t>EVM</m:t>
                    </m:r>
                  </m:e>
                </m:func>
                <m:r>
                  <w:rPr>
                    <w:rFonts w:ascii="Cambria Math" w:hAnsi="Cambria Math" w:cs="Arial"/>
                    <w:color w:val="FF0000"/>
                    <w:lang w:eastAsia="ja-JP"/>
                  </w:rPr>
                  <m:t>-3</m:t>
                </m:r>
                <m:r>
                  <w:rPr>
                    <w:rFonts w:ascii="Cambria Math" w:hAnsi="Cambria Math" w:cs="Arial"/>
                    <w:lang w:eastAsia="ja-JP"/>
                  </w:rPr>
                  <m:t>-5∙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tone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lang w:eastAsia="ja-JP"/>
                      </w:rPr>
                      <m:t>-1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Ctone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,</m:t>
                </m:r>
              </m:oMath>
            </m:oMathPara>
          </w:p>
          <w:p w14:paraId="1194E4FE" w14:textId="77777777" w:rsidR="001D7C04" w:rsidRPr="001D7C04" w:rsidRDefault="001D7C04" w:rsidP="00FA38C0">
            <w:pPr>
              <w:pStyle w:val="TAC"/>
              <w:rPr>
                <w:rFonts w:cs="Arial"/>
                <w:lang w:eastAsia="ja-JP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lang w:eastAsia="ja-JP"/>
                  </w:rPr>
                  <m:t>-57dBm/(3.75 kHz or 15 kHz)-</m:t>
                </m:r>
                <m:d>
                  <m:dPr>
                    <m:begChr m:val=""/>
                    <m:endChr m:val="}"/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tone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9701" w14:textId="77777777" w:rsidR="0078412F" w:rsidRPr="001D386E" w:rsidRDefault="0078412F" w:rsidP="002C7612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Any non-allocated (NOTE 2)</w:t>
            </w:r>
          </w:p>
        </w:tc>
      </w:tr>
    </w:tbl>
    <w:p w14:paraId="3EBD4FB8" w14:textId="77777777" w:rsidR="0078412F" w:rsidRDefault="0078412F" w:rsidP="00D66EA2">
      <w:pPr>
        <w:rPr>
          <w:color w:val="000000" w:themeColor="text1"/>
          <w:lang w:eastAsia="zh-CN"/>
        </w:rPr>
      </w:pPr>
    </w:p>
    <w:p w14:paraId="7FA81052" w14:textId="77777777" w:rsidR="00EA01CA" w:rsidRDefault="000221DE" w:rsidP="003521F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Following the MPR simulation assumptions in [1] and applying the above IBE mask together with 12.5% EVM limit, we obtained the following MPR results for 16QAM. </w:t>
      </w:r>
    </w:p>
    <w:p w14:paraId="6D8708C1" w14:textId="77777777" w:rsidR="00665F16" w:rsidRDefault="00665F16" w:rsidP="00665F16">
      <w:pPr>
        <w:keepNext/>
        <w:keepLines/>
        <w:jc w:val="center"/>
      </w:pPr>
      <w:r>
        <w:t xml:space="preserve">Table </w:t>
      </w:r>
      <w:r w:rsidR="001E433F">
        <w:t>2</w:t>
      </w:r>
      <w:r>
        <w:t xml:space="preserve">: Simulated MPR for </w:t>
      </w:r>
      <w:r w:rsidR="000221DE">
        <w:t>16QAM (</w:t>
      </w:r>
      <w:r>
        <w:t>power class 3</w:t>
      </w:r>
      <w:r w:rsidR="000221DE">
        <w:t>)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960"/>
        <w:gridCol w:w="1080"/>
        <w:gridCol w:w="1080"/>
        <w:gridCol w:w="960"/>
        <w:gridCol w:w="1120"/>
      </w:tblGrid>
      <w:tr w:rsidR="00185D4F" w:rsidRPr="003D6590" w14:paraId="49C7B914" w14:textId="77777777" w:rsidTr="00185D4F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4C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Tone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A3865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Number of tones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68C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Allocated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tones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D428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Gating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factor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022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Simulated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MPR</w:t>
            </w: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 xml:space="preserve"> [dB]</w:t>
            </w:r>
          </w:p>
        </w:tc>
      </w:tr>
      <w:tr w:rsidR="00185D4F" w:rsidRPr="003D6590" w14:paraId="4FA0C399" w14:textId="77777777" w:rsidTr="00185D4F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0F3B" w14:textId="77777777" w:rsidR="00185D4F" w:rsidRPr="003D6590" w:rsidRDefault="00185D4F" w:rsidP="00185D4F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15 kHz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99118B" w14:textId="77777777" w:rsidR="00185D4F" w:rsidRPr="003D6590" w:rsidRDefault="00185D4F" w:rsidP="00185D4F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C36F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4D2B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4E46" w14:textId="77777777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</w:p>
        </w:tc>
      </w:tr>
      <w:tr w:rsidR="00185D4F" w:rsidRPr="003D6590" w14:paraId="7CF95ECE" w14:textId="77777777" w:rsidTr="001043B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9B46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785DAC56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4C4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3-5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8B45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A33E" w14:textId="77777777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</w:p>
        </w:tc>
      </w:tr>
      <w:tr w:rsidR="00185D4F" w:rsidRPr="003D6590" w14:paraId="2B740B6F" w14:textId="77777777" w:rsidTr="001043B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0A83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5A1AF8DD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15BE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0398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DBCC" w14:textId="77777777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</w:p>
        </w:tc>
      </w:tr>
      <w:tr w:rsidR="00185D4F" w:rsidRPr="003D6590" w14:paraId="70201BF4" w14:textId="77777777" w:rsidTr="001043B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7180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F9FC9D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E6F4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9-11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0944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3B63" w14:textId="77777777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</w:p>
        </w:tc>
      </w:tr>
      <w:tr w:rsidR="00185D4F" w:rsidRPr="003D6590" w14:paraId="1BEEE47F" w14:textId="77777777" w:rsidTr="00185D4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5B6D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091AC6" w14:textId="77777777" w:rsidR="00185D4F" w:rsidRPr="003D6590" w:rsidRDefault="00185D4F" w:rsidP="00185D4F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DDEB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5EDB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D345" w14:textId="77777777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</w:p>
        </w:tc>
      </w:tr>
      <w:tr w:rsidR="00185D4F" w:rsidRPr="003D6590" w14:paraId="46BB97B9" w14:textId="77777777" w:rsidTr="009C5A5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9B3A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60FD7AA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5531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4119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1F24" w14:textId="77777777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</w:p>
        </w:tc>
      </w:tr>
      <w:tr w:rsidR="00185D4F" w:rsidRPr="003D6590" w14:paraId="195F1525" w14:textId="77777777" w:rsidTr="00185D4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6069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76B92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883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BCEF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OBW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DD56" w14:textId="48D22E6F" w:rsidR="00185D4F" w:rsidRPr="003D6590" w:rsidRDefault="00185D4F" w:rsidP="006E69F3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2.7</w:t>
            </w:r>
            <w:r w:rsidR="009F6981">
              <w:rPr>
                <w:rFonts w:ascii="Calibri" w:hAnsi="Calibri" w:cs="Calibri"/>
                <w:color w:val="000000"/>
                <w:lang w:eastAsia="en-GB"/>
              </w:rPr>
              <w:t xml:space="preserve"> </w:t>
            </w:r>
          </w:p>
        </w:tc>
      </w:tr>
    </w:tbl>
    <w:p w14:paraId="6FBAEB4E" w14:textId="77777777" w:rsidR="00665F16" w:rsidRPr="000369D6" w:rsidRDefault="00665F16" w:rsidP="00B534E2">
      <w:pPr>
        <w:rPr>
          <w:b/>
          <w:color w:val="000000" w:themeColor="text1"/>
          <w:lang w:val="en-US" w:eastAsia="zh-CN"/>
        </w:rPr>
      </w:pPr>
    </w:p>
    <w:p w14:paraId="70E1F862" w14:textId="77777777" w:rsidR="001E433F" w:rsidRDefault="001E433F" w:rsidP="001E433F">
      <w:pPr>
        <w:keepNext/>
        <w:keepLines/>
        <w:jc w:val="center"/>
      </w:pPr>
      <w:r>
        <w:lastRenderedPageBreak/>
        <w:t>Table 3: Simulated MPR for 16QAM (power class 5)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960"/>
        <w:gridCol w:w="1080"/>
        <w:gridCol w:w="1080"/>
        <w:gridCol w:w="960"/>
        <w:gridCol w:w="1120"/>
      </w:tblGrid>
      <w:tr w:rsidR="001E433F" w:rsidRPr="003D6590" w14:paraId="709A1A2D" w14:textId="77777777" w:rsidTr="002C7612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BAEB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Tone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991D5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Number of tones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3E4B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Allocated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tones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99A3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Gating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factor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EC9D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Simulated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MPR</w:t>
            </w: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 xml:space="preserve"> [dB]</w:t>
            </w:r>
          </w:p>
        </w:tc>
      </w:tr>
      <w:tr w:rsidR="001E433F" w:rsidRPr="003D6590" w14:paraId="7D995713" w14:textId="77777777" w:rsidTr="002C7612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3B3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15 kHz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5FB4D5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446B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8C39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27E6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9F6981">
              <w:rPr>
                <w:rFonts w:ascii="Calibri" w:hAnsi="Calibri" w:cs="Calibri"/>
                <w:color w:val="000000"/>
                <w:lang w:eastAsia="en-GB"/>
              </w:rPr>
              <w:t>.3</w:t>
            </w:r>
          </w:p>
        </w:tc>
      </w:tr>
      <w:tr w:rsidR="001E433F" w:rsidRPr="003D6590" w14:paraId="5649C164" w14:textId="77777777" w:rsidTr="002C761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80C4" w14:textId="77777777" w:rsidR="001E433F" w:rsidRPr="003D6590" w:rsidRDefault="001E433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078ECBA1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8CAC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3-5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6A44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8CFE" w14:textId="77777777" w:rsidR="001E433F" w:rsidRPr="00EB1A22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A3772D">
              <w:rPr>
                <w:rFonts w:ascii="Calibri" w:hAnsi="Calibri" w:cs="Calibri"/>
                <w:color w:val="000000"/>
                <w:lang w:eastAsia="en-GB"/>
              </w:rPr>
              <w:t>.3</w:t>
            </w:r>
          </w:p>
        </w:tc>
      </w:tr>
      <w:tr w:rsidR="001E433F" w:rsidRPr="003D6590" w14:paraId="48F4A759" w14:textId="77777777" w:rsidTr="002C761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005A" w14:textId="77777777" w:rsidR="001E433F" w:rsidRPr="003D6590" w:rsidRDefault="001E433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4A537388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0564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B721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32C0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674499">
              <w:rPr>
                <w:rFonts w:ascii="Calibri" w:hAnsi="Calibri" w:cs="Calibri"/>
                <w:color w:val="000000"/>
                <w:lang w:eastAsia="en-GB"/>
              </w:rPr>
              <w:t>.2</w:t>
            </w:r>
          </w:p>
        </w:tc>
      </w:tr>
      <w:tr w:rsidR="001E433F" w:rsidRPr="003D6590" w14:paraId="06ED617C" w14:textId="77777777" w:rsidTr="002C761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D2A0" w14:textId="77777777" w:rsidR="001E433F" w:rsidRPr="003D6590" w:rsidRDefault="001E433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5D14766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F6E2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9-11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2C57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098E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674499">
              <w:rPr>
                <w:rFonts w:ascii="Calibri" w:hAnsi="Calibri" w:cs="Calibri"/>
                <w:color w:val="000000"/>
                <w:lang w:eastAsia="en-GB"/>
              </w:rPr>
              <w:t>.2</w:t>
            </w:r>
          </w:p>
        </w:tc>
      </w:tr>
      <w:tr w:rsidR="001E433F" w:rsidRPr="003D6590" w14:paraId="13820EB3" w14:textId="77777777" w:rsidTr="002C761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7DCE" w14:textId="77777777" w:rsidR="001E433F" w:rsidRPr="003D6590" w:rsidRDefault="001E433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0424AC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B659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4255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9417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EB1A22">
              <w:rPr>
                <w:rFonts w:ascii="Calibri" w:hAnsi="Calibri" w:cs="Calibri"/>
                <w:color w:val="000000"/>
                <w:lang w:eastAsia="en-GB"/>
              </w:rPr>
              <w:t>.2</w:t>
            </w:r>
          </w:p>
        </w:tc>
      </w:tr>
      <w:tr w:rsidR="001E433F" w:rsidRPr="003D6590" w14:paraId="68568A3D" w14:textId="77777777" w:rsidTr="002C761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A26B" w14:textId="77777777" w:rsidR="001E433F" w:rsidRPr="003D6590" w:rsidRDefault="001E433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B5E852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5899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B203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DB0E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74753A">
              <w:rPr>
                <w:rFonts w:ascii="Calibri" w:hAnsi="Calibri" w:cs="Calibri"/>
                <w:color w:val="000000"/>
                <w:lang w:eastAsia="en-GB"/>
              </w:rPr>
              <w:t>.1</w:t>
            </w:r>
          </w:p>
        </w:tc>
      </w:tr>
      <w:tr w:rsidR="001E433F" w:rsidRPr="003D6590" w14:paraId="727DCB81" w14:textId="77777777" w:rsidTr="002C761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4490" w14:textId="77777777" w:rsidR="001E433F" w:rsidRPr="003D6590" w:rsidRDefault="001E433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D3291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8784" w14:textId="77777777" w:rsidR="001E433F" w:rsidRPr="003D6590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BE8C" w14:textId="77777777" w:rsidR="001E433F" w:rsidRPr="00AC4963" w:rsidRDefault="001E433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OBW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064E" w14:textId="424C4558" w:rsidR="001E433F" w:rsidRPr="003D6590" w:rsidRDefault="001E433F" w:rsidP="006E69F3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3.0</w:t>
            </w:r>
            <w:r w:rsidR="009F6981">
              <w:rPr>
                <w:rFonts w:ascii="Calibri" w:hAnsi="Calibri" w:cs="Calibri"/>
                <w:color w:val="000000"/>
                <w:lang w:eastAsia="en-GB"/>
              </w:rPr>
              <w:t xml:space="preserve"> </w:t>
            </w:r>
          </w:p>
        </w:tc>
      </w:tr>
    </w:tbl>
    <w:p w14:paraId="5EF506A7" w14:textId="77777777" w:rsidR="00A3772D" w:rsidRDefault="00A3772D" w:rsidP="001E433F">
      <w:pPr>
        <w:rPr>
          <w:color w:val="000000" w:themeColor="text1"/>
          <w:lang w:val="en-US" w:eastAsia="zh-CN"/>
        </w:rPr>
      </w:pPr>
    </w:p>
    <w:p w14:paraId="790D18FE" w14:textId="77777777" w:rsidR="001E433F" w:rsidRPr="009F6981" w:rsidRDefault="009F6981" w:rsidP="001E433F">
      <w:pPr>
        <w:rPr>
          <w:color w:val="000000" w:themeColor="text1"/>
          <w:lang w:val="en-US" w:eastAsia="zh-CN"/>
        </w:rPr>
      </w:pPr>
      <w:r w:rsidRPr="009F6981">
        <w:rPr>
          <w:color w:val="000000" w:themeColor="text1"/>
          <w:lang w:val="en-US" w:eastAsia="zh-CN"/>
        </w:rPr>
        <w:t xml:space="preserve">It is </w:t>
      </w:r>
      <w:r>
        <w:rPr>
          <w:color w:val="000000" w:themeColor="text1"/>
          <w:lang w:val="en-US" w:eastAsia="zh-CN"/>
        </w:rPr>
        <w:t>found that IBE is the gating factor for 3 and 6 tone allocations, while OBW is the limiting factor for 12 tone allocation. Note that for NB-IoT, OBW imposes a stricter restriction than the GSM/UTRA ACLR. When the PA is operating near the saturation point, the spectral regrowth of the 12-tone signal could exceed the OBW limit.</w:t>
      </w:r>
    </w:p>
    <w:p w14:paraId="0684D0CC" w14:textId="77777777" w:rsidR="00665F16" w:rsidRDefault="005F0DFA" w:rsidP="00B534E2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2: Consider the OBW limit as well as the new IBE mask in MPR simulations</w:t>
      </w:r>
      <w:r w:rsidR="00692C04">
        <w:rPr>
          <w:b/>
          <w:color w:val="000000" w:themeColor="text1"/>
          <w:lang w:eastAsia="zh-CN"/>
        </w:rPr>
        <w:t xml:space="preserve"> and</w:t>
      </w:r>
      <w:r>
        <w:rPr>
          <w:b/>
          <w:color w:val="000000" w:themeColor="text1"/>
          <w:lang w:eastAsia="zh-CN"/>
        </w:rPr>
        <w:t xml:space="preserve"> </w:t>
      </w:r>
      <w:r w:rsidR="00692C04">
        <w:rPr>
          <w:b/>
          <w:color w:val="000000" w:themeColor="text1"/>
          <w:lang w:eastAsia="zh-CN"/>
        </w:rPr>
        <w:t>r</w:t>
      </w:r>
      <w:r>
        <w:rPr>
          <w:b/>
          <w:color w:val="000000" w:themeColor="text1"/>
          <w:lang w:eastAsia="zh-CN"/>
        </w:rPr>
        <w:t>e-align simulation results.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1ABB045" w14:textId="77777777" w:rsidR="005A0431" w:rsidRPr="005A0431" w:rsidRDefault="00EA7A6C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It has been shown that the existing in-band emission requirements need to be updated in order to accommodate the 16QAM modulation. </w:t>
      </w:r>
      <w:r w:rsidR="000A33B0">
        <w:rPr>
          <w:color w:val="000000" w:themeColor="text1"/>
          <w:lang w:eastAsia="zh-CN"/>
        </w:rPr>
        <w:t>And the</w:t>
      </w:r>
      <w:r>
        <w:rPr>
          <w:color w:val="000000" w:themeColor="text1"/>
          <w:lang w:eastAsia="zh-CN"/>
        </w:rPr>
        <w:t xml:space="preserve"> </w:t>
      </w:r>
      <w:r w:rsidR="003179DE">
        <w:rPr>
          <w:color w:val="000000" w:themeColor="text1"/>
          <w:lang w:eastAsia="zh-CN"/>
        </w:rPr>
        <w:t xml:space="preserve">MPR </w:t>
      </w:r>
      <w:r w:rsidR="000A33B0">
        <w:rPr>
          <w:color w:val="000000" w:themeColor="text1"/>
          <w:lang w:eastAsia="zh-CN"/>
        </w:rPr>
        <w:t>simulations</w:t>
      </w:r>
      <w:r w:rsidR="003179DE">
        <w:rPr>
          <w:color w:val="000000" w:themeColor="text1"/>
          <w:lang w:eastAsia="zh-CN"/>
        </w:rPr>
        <w:t xml:space="preserve"> </w:t>
      </w:r>
      <w:r w:rsidR="000A33B0">
        <w:rPr>
          <w:color w:val="000000" w:themeColor="text1"/>
          <w:lang w:eastAsia="zh-CN"/>
        </w:rPr>
        <w:t>also indicate higher</w:t>
      </w:r>
      <w:r w:rsidR="003179DE">
        <w:rPr>
          <w:color w:val="000000" w:themeColor="text1"/>
          <w:lang w:eastAsia="zh-CN"/>
        </w:rPr>
        <w:t xml:space="preserve"> </w:t>
      </w:r>
      <w:r w:rsidR="000A33B0">
        <w:rPr>
          <w:color w:val="000000" w:themeColor="text1"/>
          <w:lang w:eastAsia="zh-CN"/>
        </w:rPr>
        <w:t xml:space="preserve">MPR values for </w:t>
      </w:r>
      <w:r w:rsidR="003179DE">
        <w:rPr>
          <w:color w:val="000000" w:themeColor="text1"/>
          <w:lang w:eastAsia="zh-CN"/>
        </w:rPr>
        <w:t>16QAM</w:t>
      </w:r>
      <w:r w:rsidR="000A33B0">
        <w:rPr>
          <w:color w:val="000000" w:themeColor="text1"/>
          <w:lang w:eastAsia="zh-CN"/>
        </w:rPr>
        <w:t>.</w:t>
      </w:r>
      <w:r w:rsidR="003179DE">
        <w:rPr>
          <w:color w:val="000000" w:themeColor="text1"/>
          <w:lang w:eastAsia="zh-CN"/>
        </w:rPr>
        <w:t xml:space="preserve"> </w:t>
      </w:r>
      <w:r w:rsidR="000A33B0">
        <w:rPr>
          <w:color w:val="000000" w:themeColor="text1"/>
          <w:lang w:eastAsia="zh-CN"/>
        </w:rPr>
        <w:t>More explicitly,</w:t>
      </w:r>
      <w:r w:rsidR="003179DE">
        <w:rPr>
          <w:color w:val="000000" w:themeColor="text1"/>
          <w:lang w:eastAsia="zh-CN"/>
        </w:rPr>
        <w:t xml:space="preserve"> the following proposals</w:t>
      </w:r>
      <w:r w:rsidR="00135192">
        <w:rPr>
          <w:color w:val="000000" w:themeColor="text1"/>
          <w:lang w:eastAsia="zh-CN"/>
        </w:rPr>
        <w:t xml:space="preserve"> are presented.</w:t>
      </w:r>
    </w:p>
    <w:p w14:paraId="72961045" w14:textId="77777777" w:rsidR="00307E3B" w:rsidRDefault="00307E3B" w:rsidP="00307E3B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1: Define the general in-band emissions requirement for 16QAM as follows. Whether the new requirement is applicable for QPSK is FFS.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828"/>
        <w:gridCol w:w="4394"/>
        <w:gridCol w:w="1964"/>
      </w:tblGrid>
      <w:tr w:rsidR="00307E3B" w:rsidRPr="001D386E" w14:paraId="32F73EDB" w14:textId="77777777" w:rsidTr="002C7612">
        <w:trPr>
          <w:jc w:val="center"/>
        </w:trPr>
        <w:tc>
          <w:tcPr>
            <w:tcW w:w="14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12AB" w14:textId="77777777" w:rsidR="00307E3B" w:rsidRPr="001D386E" w:rsidRDefault="00307E3B" w:rsidP="002C7612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Parameter description</w:t>
            </w:r>
          </w:p>
        </w:tc>
        <w:tc>
          <w:tcPr>
            <w:tcW w:w="1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D74E" w14:textId="77777777" w:rsidR="00307E3B" w:rsidRPr="001D386E" w:rsidRDefault="00307E3B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Unit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931E" w14:textId="77777777" w:rsidR="00307E3B" w:rsidRPr="001D386E" w:rsidRDefault="00307E3B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Limit (NOTE 1)</w:t>
            </w:r>
          </w:p>
        </w:tc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D731" w14:textId="77777777" w:rsidR="00307E3B" w:rsidRPr="001D386E" w:rsidRDefault="00307E3B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Applicable Frequencies</w:t>
            </w:r>
          </w:p>
        </w:tc>
      </w:tr>
      <w:tr w:rsidR="00307E3B" w:rsidRPr="001D386E" w14:paraId="7B9BC901" w14:textId="77777777" w:rsidTr="002C7612">
        <w:trPr>
          <w:trHeight w:val="710"/>
          <w:jc w:val="center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190C" w14:textId="77777777" w:rsidR="00307E3B" w:rsidRPr="001D386E" w:rsidRDefault="00307E3B" w:rsidP="002C7612">
            <w:pPr>
              <w:pStyle w:val="TAH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General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B1C3" w14:textId="77777777" w:rsidR="00307E3B" w:rsidRPr="001D386E" w:rsidRDefault="00307E3B" w:rsidP="002C7612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dB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3580" w14:textId="77777777" w:rsidR="00307E3B" w:rsidRPr="001D7C04" w:rsidRDefault="00307E3B" w:rsidP="002C7612">
            <w:pPr>
              <w:pStyle w:val="TAC"/>
              <w:rPr>
                <w:rFonts w:cs="Arial"/>
                <w:lang w:eastAsia="ja-JP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lang w:eastAsia="ja-JP"/>
                  </w:rPr>
                  <m:t>max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-</m:t>
                    </m:r>
                    <m:r>
                      <w:rPr>
                        <w:rFonts w:ascii="Cambria Math" w:hAnsi="Cambria Math" w:cs="Arial"/>
                        <w:color w:val="FF0000"/>
                        <w:lang w:eastAsia="ja-JP"/>
                      </w:rPr>
                      <m:t>18</m:t>
                    </m:r>
                    <m:r>
                      <w:rPr>
                        <w:rFonts w:ascii="Cambria Math" w:hAnsi="Cambria Math" w:cs="Arial"/>
                        <w:lang w:eastAsia="ja-JP"/>
                      </w:rPr>
                      <m:t>-10∙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lang w:eastAsia="ja-JP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10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tone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/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lang w:eastAsia="ja-JP"/>
                                  </w:rPr>
                                  <m:t>Ctone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,</m:t>
                        </m:r>
                      </m:e>
                    </m:func>
                    <m:r>
                      <w:rPr>
                        <w:rFonts w:ascii="Cambria Math" w:hAnsi="Cambria Math" w:cs="Arial"/>
                        <w:lang w:eastAsia="ja-JP"/>
                      </w:rPr>
                      <m:t xml:space="preserve"> </m:t>
                    </m:r>
                  </m:e>
                </m:d>
              </m:oMath>
            </m:oMathPara>
          </w:p>
          <w:p w14:paraId="3EF510B2" w14:textId="77777777" w:rsidR="00307E3B" w:rsidRPr="001D7C04" w:rsidRDefault="00307E3B" w:rsidP="002C7612">
            <w:pPr>
              <w:pStyle w:val="TAC"/>
              <w:rPr>
                <w:rFonts w:cs="Arial"/>
                <w:lang w:eastAsia="ja-JP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FF0000"/>
                    <w:lang w:eastAsia="ja-JP"/>
                  </w:rPr>
                  <m:t>20∙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color w:val="FF0000"/>
                        <w:lang w:eastAsia="ja-JP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lang w:eastAsia="ja-JP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lang w:eastAsia="ja-JP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Arial"/>
                        <w:color w:val="FF0000"/>
                        <w:lang w:eastAsia="ja-JP"/>
                      </w:rPr>
                      <m:t>EVM</m:t>
                    </m:r>
                  </m:e>
                </m:func>
                <m:r>
                  <w:rPr>
                    <w:rFonts w:ascii="Cambria Math" w:hAnsi="Cambria Math" w:cs="Arial"/>
                    <w:color w:val="FF0000"/>
                    <w:lang w:eastAsia="ja-JP"/>
                  </w:rPr>
                  <m:t>-3</m:t>
                </m:r>
                <m:r>
                  <w:rPr>
                    <w:rFonts w:ascii="Cambria Math" w:hAnsi="Cambria Math" w:cs="Arial"/>
                    <w:lang w:eastAsia="ja-JP"/>
                  </w:rPr>
                  <m:t>-5∙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eastAsia="ja-JP"/>
                              </w:rPr>
                              <m:t>tone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lang w:eastAsia="ja-JP"/>
                      </w:rPr>
                      <m:t>-1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Ctone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,</m:t>
                </m:r>
              </m:oMath>
            </m:oMathPara>
          </w:p>
          <w:p w14:paraId="5A8E420C" w14:textId="77777777" w:rsidR="00307E3B" w:rsidRPr="001D7C04" w:rsidRDefault="00307E3B" w:rsidP="002C7612">
            <w:pPr>
              <w:pStyle w:val="TAC"/>
              <w:rPr>
                <w:rFonts w:cs="Arial"/>
                <w:lang w:eastAsia="ja-JP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lang w:eastAsia="ja-JP"/>
                  </w:rPr>
                  <m:t>-57dBm/(3.75 kHz or 15 kHz)-</m:t>
                </m:r>
                <m:d>
                  <m:dPr>
                    <m:begChr m:val=""/>
                    <m:endChr m:val="}"/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tone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A7D8" w14:textId="77777777" w:rsidR="00307E3B" w:rsidRPr="001D386E" w:rsidRDefault="00307E3B" w:rsidP="002C7612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Any non-allocated (NOTE 2)</w:t>
            </w:r>
          </w:p>
        </w:tc>
      </w:tr>
    </w:tbl>
    <w:p w14:paraId="227B2CC4" w14:textId="77777777" w:rsidR="00307E3B" w:rsidRDefault="00307E3B" w:rsidP="005A0431">
      <w:pPr>
        <w:rPr>
          <w:b/>
          <w:color w:val="000000" w:themeColor="text1"/>
          <w:lang w:eastAsia="zh-CN"/>
        </w:rPr>
      </w:pPr>
    </w:p>
    <w:p w14:paraId="6A71295A" w14:textId="77777777" w:rsidR="005A0431" w:rsidRPr="005A0431" w:rsidRDefault="000A33B0" w:rsidP="005A0431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2: Consider the OBW limit as well as the new IBE mask in MPR simulations and re-align simulation results.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142CCA92" w14:textId="77777777" w:rsidR="00514F67" w:rsidRDefault="00514F67" w:rsidP="00514F67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bookmarkEnd w:id="1"/>
      <w:bookmarkEnd w:id="2"/>
      <w:bookmarkEnd w:id="3"/>
      <w:r w:rsidR="002D064B">
        <w:rPr>
          <w:lang w:eastAsia="zh-CN"/>
        </w:rPr>
        <w:t>R</w:t>
      </w:r>
      <w:r w:rsidR="00BC344E">
        <w:rPr>
          <w:lang w:eastAsia="zh-CN"/>
        </w:rPr>
        <w:t>4</w:t>
      </w:r>
      <w:r w:rsidR="002D064B">
        <w:rPr>
          <w:lang w:eastAsia="zh-CN"/>
        </w:rPr>
        <w:t>-</w:t>
      </w:r>
      <w:r w:rsidR="00BC344E">
        <w:rPr>
          <w:lang w:eastAsia="zh-CN"/>
        </w:rPr>
        <w:t>2105433</w:t>
      </w:r>
      <w:r w:rsidR="002D064B">
        <w:rPr>
          <w:lang w:eastAsia="zh-CN"/>
        </w:rPr>
        <w:t xml:space="preserve"> </w:t>
      </w:r>
      <w:r w:rsidR="00BC344E">
        <w:rPr>
          <w:lang w:eastAsia="zh-CN"/>
        </w:rPr>
        <w:t>WF on UE RF requirements for R17 NB-IoT 16QAM</w:t>
      </w:r>
      <w:r w:rsidR="002D064B">
        <w:rPr>
          <w:lang w:eastAsia="zh-CN"/>
        </w:rPr>
        <w:t xml:space="preserve">, </w:t>
      </w:r>
      <w:r w:rsidR="00BC344E">
        <w:rPr>
          <w:lang w:eastAsia="zh-CN"/>
        </w:rPr>
        <w:t xml:space="preserve">Nokia, </w:t>
      </w:r>
      <w:r w:rsidR="002D064B">
        <w:rPr>
          <w:lang w:eastAsia="zh-CN"/>
        </w:rPr>
        <w:t>RAN</w:t>
      </w:r>
      <w:r w:rsidR="00BC344E">
        <w:rPr>
          <w:lang w:eastAsia="zh-CN"/>
        </w:rPr>
        <w:t>4</w:t>
      </w:r>
      <w:r w:rsidR="002D064B">
        <w:rPr>
          <w:lang w:eastAsia="zh-CN"/>
        </w:rPr>
        <w:t>#</w:t>
      </w:r>
      <w:r w:rsidR="00BC344E">
        <w:rPr>
          <w:lang w:eastAsia="zh-CN"/>
        </w:rPr>
        <w:t>98bis-e</w:t>
      </w:r>
      <w:r w:rsidR="002D064B">
        <w:rPr>
          <w:lang w:eastAsia="zh-CN"/>
        </w:rPr>
        <w:t xml:space="preserve">, </w:t>
      </w:r>
      <w:r w:rsidR="00BC344E">
        <w:rPr>
          <w:lang w:eastAsia="zh-CN"/>
        </w:rPr>
        <w:t>April</w:t>
      </w:r>
      <w:r w:rsidR="002D064B">
        <w:rPr>
          <w:lang w:eastAsia="zh-CN"/>
        </w:rPr>
        <w:t xml:space="preserve"> 20</w:t>
      </w:r>
      <w:r w:rsidR="00BC344E">
        <w:rPr>
          <w:lang w:eastAsia="zh-CN"/>
        </w:rPr>
        <w:t>2</w:t>
      </w:r>
      <w:r w:rsidR="002D064B">
        <w:rPr>
          <w:lang w:eastAsia="zh-CN"/>
        </w:rPr>
        <w:t>1</w:t>
      </w:r>
    </w:p>
    <w:p w14:paraId="1563FD30" w14:textId="77777777" w:rsidR="00A74E93" w:rsidRDefault="00A74E93" w:rsidP="00514F67">
      <w:pPr>
        <w:rPr>
          <w:lang w:eastAsia="zh-CN"/>
        </w:rPr>
      </w:pPr>
      <w:r>
        <w:rPr>
          <w:lang w:eastAsia="zh-CN"/>
        </w:rPr>
        <w:t>[2] 3GPP TS 36.101 v16.8.0</w:t>
      </w:r>
    </w:p>
    <w:p w14:paraId="37F4CC1E" w14:textId="77777777" w:rsidR="009F65F6" w:rsidRDefault="009F65F6" w:rsidP="00514F67">
      <w:pPr>
        <w:rPr>
          <w:lang w:eastAsia="zh-CN"/>
        </w:rPr>
      </w:pPr>
      <w:r>
        <w:rPr>
          <w:lang w:eastAsia="zh-CN"/>
        </w:rPr>
        <w:t>[3] R4-164018 NB-IoT In-band emissions, Huawei, HiSilicon, Neul, RAN4#79, May 2016</w:t>
      </w:r>
    </w:p>
    <w:sectPr w:rsidR="009F65F6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21DE"/>
    <w:rsid w:val="000259C9"/>
    <w:rsid w:val="00030BBE"/>
    <w:rsid w:val="000369D6"/>
    <w:rsid w:val="00042FDC"/>
    <w:rsid w:val="000519FD"/>
    <w:rsid w:val="00062044"/>
    <w:rsid w:val="0008439E"/>
    <w:rsid w:val="00096438"/>
    <w:rsid w:val="000A33B0"/>
    <w:rsid w:val="000B2EA7"/>
    <w:rsid w:val="000B5B39"/>
    <w:rsid w:val="000C3038"/>
    <w:rsid w:val="000D506C"/>
    <w:rsid w:val="000E51BA"/>
    <w:rsid w:val="000F0505"/>
    <w:rsid w:val="000F6C41"/>
    <w:rsid w:val="00114F98"/>
    <w:rsid w:val="0011798D"/>
    <w:rsid w:val="00124176"/>
    <w:rsid w:val="00127F45"/>
    <w:rsid w:val="00135192"/>
    <w:rsid w:val="00141BA0"/>
    <w:rsid w:val="00147358"/>
    <w:rsid w:val="00175ECD"/>
    <w:rsid w:val="00181D44"/>
    <w:rsid w:val="00183B18"/>
    <w:rsid w:val="00185D4F"/>
    <w:rsid w:val="00191B1B"/>
    <w:rsid w:val="00196DF1"/>
    <w:rsid w:val="001977C0"/>
    <w:rsid w:val="001A04A1"/>
    <w:rsid w:val="001C39D8"/>
    <w:rsid w:val="001D7C04"/>
    <w:rsid w:val="001E3B15"/>
    <w:rsid w:val="001E433F"/>
    <w:rsid w:val="001F459A"/>
    <w:rsid w:val="001F746B"/>
    <w:rsid w:val="00200E3B"/>
    <w:rsid w:val="002106D3"/>
    <w:rsid w:val="00215F28"/>
    <w:rsid w:val="00217DA2"/>
    <w:rsid w:val="0022436D"/>
    <w:rsid w:val="00244912"/>
    <w:rsid w:val="00244B91"/>
    <w:rsid w:val="00247F28"/>
    <w:rsid w:val="00272BF9"/>
    <w:rsid w:val="00273E82"/>
    <w:rsid w:val="00282D47"/>
    <w:rsid w:val="002931E0"/>
    <w:rsid w:val="0029659D"/>
    <w:rsid w:val="002B70C4"/>
    <w:rsid w:val="002D064B"/>
    <w:rsid w:val="002D41BB"/>
    <w:rsid w:val="002E23B0"/>
    <w:rsid w:val="002E6109"/>
    <w:rsid w:val="002E628D"/>
    <w:rsid w:val="002F6E01"/>
    <w:rsid w:val="002F71D9"/>
    <w:rsid w:val="00307E3B"/>
    <w:rsid w:val="0031137E"/>
    <w:rsid w:val="0031607C"/>
    <w:rsid w:val="003179DE"/>
    <w:rsid w:val="003210C2"/>
    <w:rsid w:val="003234B0"/>
    <w:rsid w:val="00326622"/>
    <w:rsid w:val="0032692A"/>
    <w:rsid w:val="003326CF"/>
    <w:rsid w:val="00336541"/>
    <w:rsid w:val="003416C3"/>
    <w:rsid w:val="00341CC3"/>
    <w:rsid w:val="003521FC"/>
    <w:rsid w:val="00356F72"/>
    <w:rsid w:val="003676DE"/>
    <w:rsid w:val="00380C9E"/>
    <w:rsid w:val="00380EEC"/>
    <w:rsid w:val="00382D99"/>
    <w:rsid w:val="00397A98"/>
    <w:rsid w:val="003A2294"/>
    <w:rsid w:val="003A4D57"/>
    <w:rsid w:val="003A572E"/>
    <w:rsid w:val="003B0D5F"/>
    <w:rsid w:val="003B4B82"/>
    <w:rsid w:val="003C6794"/>
    <w:rsid w:val="003D2548"/>
    <w:rsid w:val="003D6FE1"/>
    <w:rsid w:val="003E099A"/>
    <w:rsid w:val="003F496D"/>
    <w:rsid w:val="004166E0"/>
    <w:rsid w:val="00417233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86DD2"/>
    <w:rsid w:val="0048737C"/>
    <w:rsid w:val="004921E9"/>
    <w:rsid w:val="00497489"/>
    <w:rsid w:val="004A0964"/>
    <w:rsid w:val="004C0F31"/>
    <w:rsid w:val="004C5FE4"/>
    <w:rsid w:val="004D75FF"/>
    <w:rsid w:val="004E10AB"/>
    <w:rsid w:val="00505D2C"/>
    <w:rsid w:val="00514F67"/>
    <w:rsid w:val="00531F9C"/>
    <w:rsid w:val="0053433A"/>
    <w:rsid w:val="00536D8C"/>
    <w:rsid w:val="00546EB2"/>
    <w:rsid w:val="00554D7D"/>
    <w:rsid w:val="00560E38"/>
    <w:rsid w:val="00563481"/>
    <w:rsid w:val="0057270E"/>
    <w:rsid w:val="0058270D"/>
    <w:rsid w:val="00584776"/>
    <w:rsid w:val="00591F1F"/>
    <w:rsid w:val="005928C8"/>
    <w:rsid w:val="005958F4"/>
    <w:rsid w:val="005A0431"/>
    <w:rsid w:val="005A2528"/>
    <w:rsid w:val="005B09D6"/>
    <w:rsid w:val="005C1B55"/>
    <w:rsid w:val="005E145E"/>
    <w:rsid w:val="005F0DFA"/>
    <w:rsid w:val="005F676F"/>
    <w:rsid w:val="00614729"/>
    <w:rsid w:val="00617B32"/>
    <w:rsid w:val="006254B6"/>
    <w:rsid w:val="0063504F"/>
    <w:rsid w:val="00635E7E"/>
    <w:rsid w:val="006466F3"/>
    <w:rsid w:val="00651871"/>
    <w:rsid w:val="00665F16"/>
    <w:rsid w:val="0067304C"/>
    <w:rsid w:val="00674499"/>
    <w:rsid w:val="00692C04"/>
    <w:rsid w:val="00693733"/>
    <w:rsid w:val="006B666A"/>
    <w:rsid w:val="006C20FF"/>
    <w:rsid w:val="006D458F"/>
    <w:rsid w:val="006D7E9E"/>
    <w:rsid w:val="006E16BF"/>
    <w:rsid w:val="006E2890"/>
    <w:rsid w:val="006E2A48"/>
    <w:rsid w:val="006E69F3"/>
    <w:rsid w:val="006F1CA3"/>
    <w:rsid w:val="00700848"/>
    <w:rsid w:val="007011A2"/>
    <w:rsid w:val="007166FA"/>
    <w:rsid w:val="00720479"/>
    <w:rsid w:val="00726E9F"/>
    <w:rsid w:val="00727D56"/>
    <w:rsid w:val="0073400E"/>
    <w:rsid w:val="00734368"/>
    <w:rsid w:val="007418B2"/>
    <w:rsid w:val="0074753A"/>
    <w:rsid w:val="007508F4"/>
    <w:rsid w:val="00750B04"/>
    <w:rsid w:val="00766434"/>
    <w:rsid w:val="00772661"/>
    <w:rsid w:val="00776291"/>
    <w:rsid w:val="00777712"/>
    <w:rsid w:val="00781C1A"/>
    <w:rsid w:val="0078412F"/>
    <w:rsid w:val="00792827"/>
    <w:rsid w:val="007949EB"/>
    <w:rsid w:val="007B0864"/>
    <w:rsid w:val="007B26A7"/>
    <w:rsid w:val="007B70FC"/>
    <w:rsid w:val="007B729A"/>
    <w:rsid w:val="007D20A4"/>
    <w:rsid w:val="007F22B9"/>
    <w:rsid w:val="007F65B1"/>
    <w:rsid w:val="00802BCD"/>
    <w:rsid w:val="0080593F"/>
    <w:rsid w:val="008112E7"/>
    <w:rsid w:val="00823FF2"/>
    <w:rsid w:val="008259F4"/>
    <w:rsid w:val="00835A99"/>
    <w:rsid w:val="008555AC"/>
    <w:rsid w:val="0085704B"/>
    <w:rsid w:val="0086032C"/>
    <w:rsid w:val="008625ED"/>
    <w:rsid w:val="0086526E"/>
    <w:rsid w:val="00867EC5"/>
    <w:rsid w:val="008901AC"/>
    <w:rsid w:val="0089654D"/>
    <w:rsid w:val="008B2BD5"/>
    <w:rsid w:val="008B3907"/>
    <w:rsid w:val="008C1D06"/>
    <w:rsid w:val="008D1EFE"/>
    <w:rsid w:val="008D2F99"/>
    <w:rsid w:val="008E326C"/>
    <w:rsid w:val="008E7DEC"/>
    <w:rsid w:val="0090047A"/>
    <w:rsid w:val="009072E3"/>
    <w:rsid w:val="00913179"/>
    <w:rsid w:val="00934EB2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C2145"/>
    <w:rsid w:val="009C392C"/>
    <w:rsid w:val="009C6075"/>
    <w:rsid w:val="009D6F98"/>
    <w:rsid w:val="009E154A"/>
    <w:rsid w:val="009E41DD"/>
    <w:rsid w:val="009E7475"/>
    <w:rsid w:val="009F65F6"/>
    <w:rsid w:val="009F6981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85449"/>
    <w:rsid w:val="00A85E93"/>
    <w:rsid w:val="00A97635"/>
    <w:rsid w:val="00AC458E"/>
    <w:rsid w:val="00AC62C5"/>
    <w:rsid w:val="00AD0F8D"/>
    <w:rsid w:val="00AE62E1"/>
    <w:rsid w:val="00B00E43"/>
    <w:rsid w:val="00B036FB"/>
    <w:rsid w:val="00B10601"/>
    <w:rsid w:val="00B20241"/>
    <w:rsid w:val="00B24720"/>
    <w:rsid w:val="00B3127C"/>
    <w:rsid w:val="00B330B0"/>
    <w:rsid w:val="00B3380D"/>
    <w:rsid w:val="00B45E73"/>
    <w:rsid w:val="00B460E6"/>
    <w:rsid w:val="00B534E2"/>
    <w:rsid w:val="00B566B6"/>
    <w:rsid w:val="00B622F8"/>
    <w:rsid w:val="00B63B10"/>
    <w:rsid w:val="00B63F2C"/>
    <w:rsid w:val="00B64462"/>
    <w:rsid w:val="00B667B2"/>
    <w:rsid w:val="00B67595"/>
    <w:rsid w:val="00B71AD4"/>
    <w:rsid w:val="00B77A4E"/>
    <w:rsid w:val="00B836EA"/>
    <w:rsid w:val="00B92A68"/>
    <w:rsid w:val="00B94B9A"/>
    <w:rsid w:val="00BB7240"/>
    <w:rsid w:val="00BC344E"/>
    <w:rsid w:val="00BC69BC"/>
    <w:rsid w:val="00BD6052"/>
    <w:rsid w:val="00BE260D"/>
    <w:rsid w:val="00BE5100"/>
    <w:rsid w:val="00BE59E5"/>
    <w:rsid w:val="00BF58B0"/>
    <w:rsid w:val="00BF6B11"/>
    <w:rsid w:val="00C02A55"/>
    <w:rsid w:val="00C445F2"/>
    <w:rsid w:val="00C53166"/>
    <w:rsid w:val="00C5327F"/>
    <w:rsid w:val="00C578D1"/>
    <w:rsid w:val="00C651BE"/>
    <w:rsid w:val="00C75C28"/>
    <w:rsid w:val="00C769EE"/>
    <w:rsid w:val="00C80468"/>
    <w:rsid w:val="00C842E7"/>
    <w:rsid w:val="00C853CE"/>
    <w:rsid w:val="00CA0359"/>
    <w:rsid w:val="00CA0B2F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CE0E41"/>
    <w:rsid w:val="00CF0341"/>
    <w:rsid w:val="00D0059C"/>
    <w:rsid w:val="00D11389"/>
    <w:rsid w:val="00D31582"/>
    <w:rsid w:val="00D36102"/>
    <w:rsid w:val="00D36274"/>
    <w:rsid w:val="00D40CB2"/>
    <w:rsid w:val="00D44A64"/>
    <w:rsid w:val="00D553E9"/>
    <w:rsid w:val="00D66EA2"/>
    <w:rsid w:val="00D7722D"/>
    <w:rsid w:val="00D774CD"/>
    <w:rsid w:val="00D80D9E"/>
    <w:rsid w:val="00D82176"/>
    <w:rsid w:val="00D8230F"/>
    <w:rsid w:val="00D86505"/>
    <w:rsid w:val="00D91657"/>
    <w:rsid w:val="00DA47C6"/>
    <w:rsid w:val="00DA5244"/>
    <w:rsid w:val="00DB03E1"/>
    <w:rsid w:val="00DC7C14"/>
    <w:rsid w:val="00DE7D1B"/>
    <w:rsid w:val="00E06987"/>
    <w:rsid w:val="00E10B52"/>
    <w:rsid w:val="00E20439"/>
    <w:rsid w:val="00E215BB"/>
    <w:rsid w:val="00E22ACF"/>
    <w:rsid w:val="00E276F0"/>
    <w:rsid w:val="00E33B48"/>
    <w:rsid w:val="00E415C8"/>
    <w:rsid w:val="00E42CD1"/>
    <w:rsid w:val="00E54E29"/>
    <w:rsid w:val="00E64007"/>
    <w:rsid w:val="00E85837"/>
    <w:rsid w:val="00E8709A"/>
    <w:rsid w:val="00E958C4"/>
    <w:rsid w:val="00E97500"/>
    <w:rsid w:val="00E97A35"/>
    <w:rsid w:val="00EA01CA"/>
    <w:rsid w:val="00EA0A6E"/>
    <w:rsid w:val="00EA390E"/>
    <w:rsid w:val="00EA7A6C"/>
    <w:rsid w:val="00EA7EE8"/>
    <w:rsid w:val="00EB1A22"/>
    <w:rsid w:val="00EB6013"/>
    <w:rsid w:val="00EB6D8B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37321"/>
    <w:rsid w:val="00F50E21"/>
    <w:rsid w:val="00F5716A"/>
    <w:rsid w:val="00F60EF9"/>
    <w:rsid w:val="00F77C25"/>
    <w:rsid w:val="00F81BE8"/>
    <w:rsid w:val="00F843E3"/>
    <w:rsid w:val="00FA38C0"/>
    <w:rsid w:val="00FA7F42"/>
    <w:rsid w:val="00FB7A64"/>
    <w:rsid w:val="00FD0ABE"/>
    <w:rsid w:val="00FD6B8D"/>
    <w:rsid w:val="00FE2FF6"/>
    <w:rsid w:val="00FE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E49B8-1F18-4828-B30B-E736AA44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3338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293</cp:revision>
  <dcterms:created xsi:type="dcterms:W3CDTF">2019-10-04T18:09:00Z</dcterms:created>
  <dcterms:modified xsi:type="dcterms:W3CDTF">2021-05-11T19:56:00Z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1620037765</vt:lpwstr>
  </property>
</Properties>
</file>